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2ª Via de Carta de Aforamento (Atualizada)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Carta de Aforamento (xérox) ou Número;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Certidão Negativa de Débitos Municipais - IPTU;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Escritura Pública ou Certidão de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Matrícula/ônus.(Emitida a pelo menos 30 dias)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16.4566929133849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protocolado /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contendo o reconhecimento da firma do proprietário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                 CEP: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Lote Nº:                                                                                                                                                               Quadra Nº:        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                Zona:       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         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DAS CARTAS DE AFORAMENTO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Carta Nº:                                                            Livro:                           Folha:                  Setor:                                                            </w:t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</w:t>
      </w:r>
      <w:r w:rsidDel="00000000" w:rsidR="00000000" w:rsidRPr="00000000">
        <w:rPr>
          <w:b w:val="1"/>
          <w:sz w:val="20"/>
          <w:szCs w:val="20"/>
          <w:rtl w:val="0"/>
        </w:rPr>
        <w:t xml:space="preserve">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BR7e8RwQg0hF/iwvACeStSKFA==">AMUW2mW6756WHnUNmaGPNHdJJm2YMNze5dOCLvhBu8+khN3zHdG2l35yiHRS8huw4HIXoEeznlbB8IGLghkVwx3ZkTlbWC7ch2hQaw7hzLo/wJcTm3aHjk6pEDlv0ciE0vdkLt3bCVL/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2019-12-18T14:51:00Z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