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PARCELAMENTO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Alvará/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de Desmembramento (Terreno Próprio)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Parcelamento;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 ( com no </w:t>
      </w:r>
      <w:r w:rsidDel="00000000" w:rsidR="00000000" w:rsidRPr="00000000">
        <w:rPr>
          <w:sz w:val="18"/>
          <w:szCs w:val="18"/>
          <w:rtl w:val="0"/>
        </w:rPr>
        <w:t xml:space="preserve">mínimo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30 dias);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Escritura Pública ou Certidão de Matrícula;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ART/RRT/CRT – Para Desmembramento;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Projeto em meio digital (PDF) e em DWG (Versão até 2013) – Seguir modelo da SEMURB;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Memorial Descritivo - Seguir modelo da SEMURB.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CEP: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  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Zona:            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 a ser desmembrado: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de cada lote desmembrado: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                                           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 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  Sequencial:                           </w:t>
      </w:r>
    </w:p>
    <w:p w:rsidR="00000000" w:rsidDel="00000000" w:rsidP="00000000" w:rsidRDefault="00000000" w:rsidRPr="00000000" w14:paraId="00000022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7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2C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D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Nevaldo Rocha</w:t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qFormat w:val="1"/>
    <w:rPr>
      <w:color w:val="0000ff" w:themeColor="hyperlink"/>
      <w:u w:val="single"/>
    </w:rPr>
  </w:style>
  <w:style w:type="paragraph" w:styleId="Lista">
    <w:name w:val="List"/>
    <w:basedOn w:val="Corpodetexto"/>
    <w:qFormat w:val="1"/>
    <w:rPr>
      <w:rFonts w:cs="Mangal"/>
    </w:rPr>
  </w:style>
  <w:style w:type="paragraph" w:styleId="Corpodetexto">
    <w:name w:val="Body Text"/>
    <w:basedOn w:val="Normal"/>
    <w:qFormat w:val="1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qFormat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  <w:qFormat w:val="1"/>
  </w:style>
  <w:style w:type="character" w:styleId="CabealhoChar" w:customStyle="1">
    <w:name w:val="Cabeçalho Char"/>
    <w:basedOn w:val="Fontepargpadro1"/>
    <w:qFormat w:val="1"/>
  </w:style>
  <w:style w:type="character" w:styleId="RodapChar" w:customStyle="1">
    <w:name w:val="Rodapé Char"/>
    <w:basedOn w:val="Fontepargpadro1"/>
    <w:qFormat w:val="1"/>
  </w:style>
  <w:style w:type="character" w:styleId="TextodebaloChar" w:customStyle="1">
    <w:name w:val="Texto de balão Char"/>
    <w:basedOn w:val="Fontepargpadro1"/>
    <w:qFormat w:val="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qFormat w:val="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qFormat w:val="1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xpp5huPaIm2l6CSgewGeZhaVQ==">AMUW2mVLim14FhFoHG1TcXJUY1kUCBPl3hTeL/jjjMVpFeBLK8kYMzakGr0PO8zYcrq4K4lAugEKbdhiDtpijkFsxcEzT6I4iVpv2NxyYjo3wQsvdjLMLAGxdxQo4ltD8ey3w0OZwny5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2019-12-20T12:08:00Z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