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Verificação de Limites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Matrícula(</w:t>
      </w:r>
      <w:r w:rsidDel="00000000" w:rsidR="00000000" w:rsidRPr="00000000">
        <w:rPr>
          <w:sz w:val="18"/>
          <w:szCs w:val="18"/>
          <w:rtl w:val="0"/>
        </w:rPr>
        <w:t xml:space="preserve"> com no mínimo 30 dias)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0.000.0000.00.0000.0000.0                                               Sequencial:                           </w:t>
      </w:r>
    </w:p>
    <w:p w:rsidR="00000000" w:rsidDel="00000000" w:rsidP="00000000" w:rsidRDefault="00000000" w:rsidRPr="00000000" w14:paraId="0000001D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7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8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 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  <w:qFormat w:val="1"/>
  </w:style>
  <w:style w:type="character" w:styleId="TextodebaloChar" w:customStyle="1">
    <w:name w:val="Texto de balão Char"/>
    <w:basedOn w:val="Fontepargpadro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uREpCAfE9bmvtnxWrqWLlJekA==">AMUW2mWS1n33V3Y/PKl8qHPtU8RfpBlGpsIvHeshVShB93xXcIdQopXoiBTuGrg2p1YmKn3UddVN+5LOJ+ujQKD3U1ZGFI/ehY+GWv+PD53E/ZbKqGvFxVOaKcuh/ZhnkO7vPoguyxfg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2019-12-20T11:32:00Z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